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52A4C7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中国（河北）自贸试验区正定片区</w:t>
      </w:r>
    </w:p>
    <w:p w14:paraId="739D0C2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发展提升方案</w:t>
      </w:r>
    </w:p>
    <w:p w14:paraId="6F33B9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</w:p>
    <w:p w14:paraId="3F7CC0C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为贯彻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就深入推进自由贸易试验区建设作出的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重要指示精神和党的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二十届三中全会关于“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实施自由贸易试验区提升战略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决策部署，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落实市委、市政府主要领导批示要求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加快补短板、强弱项，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以更大力度、更实措施推进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自贸试验区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正定片区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高水平开放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高质量发展，制定本方案。</w:t>
      </w:r>
    </w:p>
    <w:p w14:paraId="507672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工作目标</w:t>
      </w:r>
    </w:p>
    <w:p w14:paraId="06404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本着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“争先进位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原则，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对标省自贸办印发的《中国（河北）自由贸易试验区建设考核评估办法》，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锚定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外资、外贸两项重点工作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，突出重点领域制度创新和现代产业加快发展，以六大平台为保障，做大做强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主导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产业，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促进正定片区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发展，在全省自贸试验区考评中保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B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A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561BF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年，实际使用外资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结构进一步优化，高技术产业利用外资占比力争达到60%以上，新注册外资企业10家以上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；外贸进出口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业务全面转型，进出口总额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力争完成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亿元；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争取新增市场主体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highlight w:val="none"/>
          <w:lang w:val="en-US" w:eastAsia="zh-CN" w:bidi="ar-SA"/>
        </w:rPr>
        <w:t>1500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家；完成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项国家级制度创新成果申报。</w:t>
      </w:r>
    </w:p>
    <w:p w14:paraId="60A97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年，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实际使用外资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万美元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以上，新注册外资企业10家以上；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外贸进出口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额力争完成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32"/>
          <w:szCs w:val="2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同比增速高于全市平均增速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以上，新增有进出口实绩企业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家以上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新增市场主体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1500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家以上；力争完成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项国家级、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项以上省级制度创新成果。</w:t>
      </w:r>
    </w:p>
    <w:p w14:paraId="5BC6C4D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、做强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大产业，实现提升突破</w:t>
      </w:r>
    </w:p>
    <w:p w14:paraId="3AE9553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紧盯片区短板弱项，围绕发展外向型经济、培育高技术产业等重点领域，加大招商引资力度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提升产业扶持强度，做大做强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四大主导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产业。以产业高质量发展，促进片区高水平开放。</w:t>
      </w:r>
    </w:p>
    <w:p w14:paraId="010FB5F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"/>
        </w:rPr>
        <w:t>（一）大力发展数字经济产业。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重点发展北斗应用、新型智能硬件、人工智能与软件信息服务、工业互联网、数字内容与媒体、信息基础设施建设等产业。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到2025年，数字经济初具规模，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营业收入达到30亿元。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市工信局、市数据局、市投促局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 w:bidi="ar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 w:bidi="ar-SA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。涉及正定片区管委会的任务事项，由正定片区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管委会、正定新城管委会、正定高新区管委会、正定县政府按职责共同落实，下同。）</w:t>
      </w:r>
    </w:p>
    <w:p w14:paraId="0B97649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1.以未来信息产业园为支撑，打造北斗产业生态。加快推进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正定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未来信息产业园建设，重点发展北斗时空服务、商用遥感卫星、高端装备制造三个领域细分产业，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北斗产业发展生态。同时加快综合产业基地、均和云谷等园区招商进程。</w:t>
      </w:r>
    </w:p>
    <w:p w14:paraId="3054101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2.加快完善数字基础设施，建设新型数据中心和安全平台。支持常山北明、讯网科技等重点项目建设，优化与京津冀区域大型数据中心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网络连接，满足跨地域数据资源调度和互访需求。推进5G网络建设，确保重点应用区域和场景实现连片优质覆盖。</w:t>
      </w:r>
    </w:p>
    <w:p w14:paraId="532E108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.发挥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数博会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赋能作用，打造特色数字内容产业。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围绕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数博会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，加强数字孪生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、云转播、多场景一脸通行等智能技术的体验布局。探索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平台/场景+内容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等新模式新业态，推进工业设计、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数字创意、VR/AR产品等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数字消费产业发展。</w:t>
      </w:r>
    </w:p>
    <w:p w14:paraId="5ED1B42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（二）推动生物医药产业开放发展。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重点发展生物化学药、生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物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制造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医用材料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、基因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细胞、医药贸易等细分产业。到2025年，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营业收入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达到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45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亿元。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（正定片区管委会、市发改委、市工信局、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市市场监管局、市卫健委、市投促局、石家庄机场海关、正定海关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3B20CF0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1.依托龙头企业构建优势产业链</w:t>
      </w:r>
    </w:p>
    <w:p w14:paraId="2B9D2DA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——优化高端生物化学药产业链。依托常山生化药业、常山凯库得等龙头企业在肝素、透明质酸等领域的独特优势，支持片区内企业针对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心脑血管、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糖尿病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等重点病症，开发新型原研、仿创生物化学药物品种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52A1D72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——发展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生物制造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产业。依托一然生物，积极推动乳酸菌等益生菌保健品的研发和制造，打造益生菌保健品产业链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，大力发展生物制造产业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。</w:t>
      </w:r>
    </w:p>
    <w:p w14:paraId="30E18DB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——构建医用材料产业链。发挥橡一科技等龙头企业在医药包装材料行业的发展优势，积极向PET药用塑料瓶、PTP铝箔、高品质PVC硬片等医药包装材料延伸，提升在全球市场占有率，建设全国医药包装材料生产研发基地。</w:t>
      </w:r>
    </w:p>
    <w:p w14:paraId="6021801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2.支持基因细胞产业开放发展。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持片区内企业开展生物制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药CDMO新药研发生产、基因检测诊断、基因编辑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细胞存储、制备、检测等业务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</w:rPr>
        <w:t>争取国家及省卫健、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</w:rPr>
        <w:t>药监部门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</w:rPr>
        <w:t>支持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val="en-US" w:eastAsia="zh-CN"/>
        </w:rPr>
        <w:t>助推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eastAsia="zh-CN"/>
        </w:rPr>
        <w:t>企业健康持续发展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2A0FA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3.推进医药贸易跨越式发展。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依托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药品进口口岸，积极争取海关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药监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等国家及省直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部门支持，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推进破解保税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进口</w:t>
      </w:r>
      <w:r>
        <w:rPr>
          <w:rFonts w:hint="eastAsia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药品通关障碍工作，保障港通物流、华源润泽等综保区生物医药生产、流通企业正常经营；</w:t>
      </w:r>
      <w:r>
        <w:rPr>
          <w:rFonts w:hint="default" w:ascii="Times New Roman" w:hAnsi="Times New Roman" w:eastAsia="仿宋_GB2312" w:cs="Times New Roman"/>
          <w:bCs/>
          <w:spacing w:val="0"/>
          <w:sz w:val="32"/>
          <w:szCs w:val="32"/>
          <w:highlight w:val="none"/>
          <w:lang w:val="en-US" w:eastAsia="zh-CN"/>
        </w:rPr>
        <w:t>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极推进与国内外知名医药流通企业对接合作，力争实现医药贸易跨越式发展。</w:t>
      </w:r>
    </w:p>
    <w:p w14:paraId="75B4128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（三）推动航空及高端装备制造产业聚集发展。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航空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重点发展航空维修、航材研发生产等细分产业；高端装备制造重点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发展高端智能装备零部件、节能环保装备、智能制造装备等细分产业。到2025年，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营业收入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达到5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（正定片区管委会、市发改委、市工信局、市投促局、石家庄机场海关、正定海关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2"/>
          <w:sz w:val="32"/>
          <w:szCs w:val="22"/>
          <w:lang w:val="en-US"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snapToGrid w:val="0"/>
          <w:color w:val="auto"/>
          <w:kern w:val="2"/>
          <w:sz w:val="32"/>
          <w:szCs w:val="22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0B9A952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.以航空维修为突破，推进航空产业聚集发展</w:t>
      </w:r>
    </w:p>
    <w:p w14:paraId="62000E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石家庄正定国际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机场与综保区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区港一体化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建设。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省发改委、石家庄海关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协调海关总署等国家部委赋予综保区与空港叠加区域口岸功能，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推进机场飞行区至综保区联络道建设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，为航空产业聚集发展奠定基础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</w:rPr>
        <w:t>。</w:t>
      </w:r>
    </w:p>
    <w:p w14:paraId="3E536CB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推进航空制造业与航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维修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联动发展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力促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飞机保税维修项目尽早落地开工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积极引入飞机关键零部件、机载设备等航材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研发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制造企业，打造航空装备零部件供应基地。</w:t>
      </w:r>
    </w:p>
    <w:p w14:paraId="1001C03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2.依托龙头企业构建高端装备优势产业集群</w:t>
      </w:r>
    </w:p>
    <w:p w14:paraId="7C7D204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——建设高端装备零部件研发和生产基地。依托盛华集团、北摩高科等龙头企业的生产能力，重点招引零部件大型供应企业，培育本地装备制造上下游产业群。</w:t>
      </w:r>
    </w:p>
    <w:p w14:paraId="31F0B35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——建设节能环保设备产业集群。依托正中科技、波特无机膜等企业在细分领域的技术优势，培育一批技术引领型、市场主导型的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链主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招引相关成套设备及零部件生产企业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23B3311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trike w:val="0"/>
          <w:dstrike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——建设工程机械智能制造产业链。依托河北新大地等龙头企业，重点发展建筑、交通等工程机械智能制造产业链。</w:t>
      </w:r>
    </w:p>
    <w:p w14:paraId="4B85E3B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（四）推进现代商贸物流业开放发展。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聚焦开放能级提升，以畅通国际物流通道、打造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国际贸易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务生态圈为抓手，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重点发展国际物流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、大宗商品国际贸易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和跨境电商产业。2025年，商贸物流企业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营业收入达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0"/>
          <w:sz w:val="32"/>
          <w:szCs w:val="32"/>
          <w:highlight w:val="none"/>
          <w:lang w:val="en-US" w:eastAsia="zh-CN"/>
        </w:rPr>
        <w:t>10亿元</w:t>
      </w:r>
      <w:r>
        <w:rPr>
          <w:rFonts w:hint="eastAsia" w:ascii="Times New Roman" w:hAnsi="Times New Roman" w:eastAsia="仿宋_GB2312" w:cs="Times New Roman"/>
          <w:strike w:val="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进出口额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达到120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（正定片区管委会、市商务局、市发改委、市工信局、市投促局，高邑县政府、石家庄机场海关、正定海关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2"/>
          <w:sz w:val="32"/>
          <w:szCs w:val="22"/>
          <w:lang w:val="en-US"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3E64EEE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1.加快综合物流枢纽建设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 w14:paraId="6C25113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——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加快航空物流枢纽建设。实现机场口岸与综保区功能叠加，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利用机场国际航空货运优势，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以综保区为集散地，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发展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以空公、公铁联运为重点的多式联运模式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与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北京、天津、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上海、成都、武汉等国内枢纽机场展开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空空转关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公空联运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铁空联运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业务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畅通国内国际物流通道。</w:t>
      </w:r>
    </w:p>
    <w:p w14:paraId="7F940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——加快石家庄陆港型国家物流枢纽建设。依托综保区与国际陆港联动发展的协同优势，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叠加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综保区政策优势和国际陆港铁路资源优势，提升综保区国际货运集货能力，支持区港联动国际班列运营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加快建设石家庄陆港型国家物流枢纽。</w:t>
      </w:r>
    </w:p>
    <w:p w14:paraId="4E2C86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22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.创新发展跨境电商产业。</w:t>
      </w:r>
    </w:p>
    <w:p w14:paraId="5F008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积极招引跨境电商企业。引入知名跨境电商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国际物流企业，争取在综保区设立区域性中心仓、配送仓。</w:t>
      </w:r>
    </w:p>
    <w:p w14:paraId="6E978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——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加快建设跨境电商外贸服务生态圈。依托盘古跨境电商产业园、维顺跨境电商孵化基地，加快顺丰河北数智供应链产业基地项目建设进度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，大力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引进财税审计、外综服、国际物流、供应链金融等专业服务机构，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探索建设跨境电商服务平台，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进一步完善外贸服务生态，吸引外贸企业聚集发展。</w:t>
      </w:r>
    </w:p>
    <w:p w14:paraId="0EE3A34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——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提升石家庄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国际邮件互换局（兼交换站）功能。推进互换局扩大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邮件、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快件及跨境电商业务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规模，力争2024年进出境国际邮件达到100万件，2025年达到110万件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1DBAD57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推进跨境贸易数字化平台建设。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推动数贸平台、国联股份数字经济总部、裘皮交易平台、北方油脂交易中心、吉牛成品油平台等重点在谈项目加快落地，对接美国好事多集团、阿拉伯国际会展联盟等国际性商务组织，开展国际集采业务，带动河北特色产业进出口。</w:t>
      </w:r>
    </w:p>
    <w:p w14:paraId="0875F14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、建设六大平台，强化保障支撑</w:t>
      </w:r>
    </w:p>
    <w:p w14:paraId="2BDEFC0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为保障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本方案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顺利实施，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聚焦工作机制、制度创新、政务服务、金融支持等重点领域和关键环节，全力打造组织管理、政务服务、招商合作、财税金融、制度创新、政策保障服务六大平台，以更高标准、更严要求、更实举措抓好各项工作落实。</w:t>
      </w:r>
    </w:p>
    <w:p w14:paraId="3CAC1A8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（一）建设统一的组织管理平台。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建立统一的组织管理机构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统筹推进石家庄综保区、正定高新区、正定新城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等区域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发展。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配备具有相应专业能力的领导班子，充实与片区制度创新工作及主导产业发展相适应的高素质干部队伍；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建立权责适配、职能清晰、目标明确的工作推进机构，形成工作合力。建立统一的督导考核机构，进行统一督导、调度和考核，增强各级各部门的自贸大局意识。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（市委组织部、市财政局、市人社局、正定片区管委会按职责分工负责；完成时限：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3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08CC28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（二）建设统一的政务服务平台。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设立正定片区综合服务中心，全面集成行政审批、政务服务、税务服务、迎商惠企、咨询帮办、自贸通办、信用体系、改革创新等职能，承接落实省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市授权、赋权事项，保障市场主体需求。深化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证照分离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改革，按照国际营商环境评价标准体系，主动开展审批监管、涉企服务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领域的改革创新。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514C9F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80"/>
        </w:tabs>
        <w:kinsoku/>
        <w:wordWrap w:val="0"/>
        <w:overflowPunct/>
        <w:topLinePunct/>
        <w:autoSpaceDE/>
        <w:autoSpaceDN/>
        <w:bidi w:val="0"/>
        <w:spacing w:line="60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（三）建设统一的招商合作平台。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统筹产业发展规划，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整合招商力量和资源，设立统一的招商合作机构，强化产业招商，组建专业化招商团队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拓展国际招商渠道，提升外资招商能力，重点招引外商投资高新技术产业，提高产业国际化水平。设立招商服务大厅，公开载体资源、项目评价指标、招商政策、兑现流程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促进政务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服务规范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便捷。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（正定片区管委会、市投促局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2"/>
          <w:sz w:val="32"/>
          <w:szCs w:val="22"/>
          <w:lang w:val="en-US" w:eastAsia="zh-CN" w:bidi="ar-SA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4703FEE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（四）建设统一的财税金融平台。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做大做强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片区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主导产业发展基金，整合壮大片区发展投资平台，吸引社会资本共同投资，助力基础设施项目建设和产业升级。鼓励各类金融机构落户片区，推出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多样化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创新金融产品。落实自贸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试验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区在金融领域的开放试点政策，在防控风险基础上，促进跨境投融资便利化。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人行省会金融工作协调处、河北金融监管局石家庄地区监管协调处、市委金融办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2"/>
          <w:sz w:val="32"/>
          <w:szCs w:val="22"/>
          <w:lang w:val="en-US"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575B897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（五）建设统一的制度创新平台。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建立制度创新推进、激励等工作机制，加强与国家部委和省、市部门对接沟通，争取政策突破和改革赋权。推进试点任务落实、创新政策落地，进一步释放自贸政策红利。对标国际高标准经贸规则，加强改革系统集成，深化差异化改革探索，形成高质量制度创新成果。加大复制推广力度，研究复制推广方案，努力提升片区市场主体获得感、满意度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（正定片区管委会、市商务局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2"/>
          <w:sz w:val="32"/>
          <w:szCs w:val="22"/>
          <w:lang w:val="en-US"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6DDABEB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default" w:ascii="Calibri" w:hAnsi="Calibri" w:eastAsia="宋体" w:cs="Times New Roman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（六）建设统一的政策保障服务平台。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落实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好市委、市政府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《关于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支持中国（河北）自由贸易试验区正定片区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（石家庄综合保税区）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高水平开放打造外向型经济新高地的若干意见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安排支持自贸区发展专项资金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助推片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区发展。研究国家、省出台的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自贸试验区、外贸和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外资等各项支持经济发展、扩大开放的政策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措施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有针对性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制定落实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举措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，释放政策红利，推动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惠企政策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</w:rPr>
        <w:t>精准直达市场主体。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（正定片区管委会、市财政局、市商务局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kern w:val="2"/>
          <w:sz w:val="32"/>
          <w:szCs w:val="22"/>
          <w:lang w:val="en-US" w:eastAsia="zh-CN"/>
        </w:rPr>
        <w:t>按职责分工负责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；完成时限：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22"/>
          <w:lang w:val="en-US" w:eastAsia="zh-CN" w:bidi="ar-SA"/>
        </w:rPr>
        <w:t>12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月）</w:t>
      </w:r>
    </w:p>
    <w:p w14:paraId="6A0E3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1179F"/>
    <w:rsid w:val="1A8B47C5"/>
    <w:rsid w:val="79C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 w:cs="等线"/>
      <w:sz w:val="32"/>
      <w:szCs w:val="21"/>
    </w:rPr>
  </w:style>
  <w:style w:type="paragraph" w:customStyle="1" w:styleId="5">
    <w:name w:val="Body text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4362</Words>
  <Characters>4493</Characters>
  <Lines>0</Lines>
  <Paragraphs>0</Paragraphs>
  <TotalTime>0</TotalTime>
  <ScaleCrop>false</ScaleCrop>
  <LinksUpToDate>false</LinksUpToDate>
  <CharactersWithSpaces>4493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2024-12-02T08:05:00Z</dcterms:created>
  <dc:creator>桥桥桥</dc:creator>
  <cp:lastModifiedBy>Administrator</cp:lastModifiedBy>
  <dcterms:modified xsi:type="dcterms:W3CDTF">2024-12-02T08:14:35Z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622125E4EFE74104A8032FFD3075F3C6_13</vt:lpwstr>
  </property>
</Properties>
</file>