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  <w:t>石家庄综合保税区“双随机、一公开”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spacing w:val="-3"/>
          <w:w w:val="60"/>
          <w:sz w:val="72"/>
          <w:szCs w:val="72"/>
        </w:rPr>
        <w:t>监管工作领导小组办公室文件</w:t>
      </w:r>
    </w:p>
    <w:p>
      <w:pPr>
        <w:adjustRightInd w:val="0"/>
        <w:snapToGrid w:val="0"/>
        <w:spacing w:line="580" w:lineRule="atLeast"/>
        <w:jc w:val="center"/>
        <w:rPr>
          <w:rFonts w:ascii="仿宋_GB2312"/>
          <w:snapToGrid w:val="0"/>
          <w:color w:val="000000"/>
          <w:spacing w:val="-4"/>
          <w:szCs w:val="32"/>
        </w:rPr>
      </w:pPr>
    </w:p>
    <w:p>
      <w:pPr>
        <w:widowControl w:val="0"/>
        <w:wordWrap/>
        <w:spacing w:line="0" w:lineRule="atLeast"/>
        <w:jc w:val="center"/>
        <w:textAlignment w:val="auto"/>
        <w:rPr>
          <w:rFonts w:ascii="仿宋" w:hAnsi="仿宋" w:eastAsia="仿宋" w:cs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石综保双随机办〔202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〕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号</w:t>
      </w:r>
    </w:p>
    <w:p>
      <w:pPr>
        <w:widowControl w:val="0"/>
        <w:wordWrap/>
        <w:adjustRightInd w:val="0"/>
        <w:snapToGrid w:val="0"/>
        <w:spacing w:line="0" w:lineRule="atLeast"/>
        <w:textAlignment w:val="auto"/>
        <w:rPr>
          <w:rFonts w:ascii="方正小标宋_GBK" w:hAnsi="宋体" w:eastAsia="方正小标宋_GBK" w:cs="黑体"/>
          <w:bCs/>
          <w:snapToGrid w:val="0"/>
          <w:color w:val="000000"/>
          <w:spacing w:val="-4"/>
          <w:sz w:val="21"/>
          <w:szCs w:val="21"/>
        </w:rPr>
      </w:pPr>
      <w:r>
        <w:rPr>
          <w:rFonts w:hint="eastAsia" w:ascii="宋体" w:hAnsi="宋体" w:cs="宋体"/>
          <w:snapToGrid w:val="0"/>
          <w:color w:val="FF0000"/>
          <w:spacing w:val="-4"/>
          <w:sz w:val="21"/>
          <w:szCs w:val="21"/>
          <w:u w:val="thick"/>
        </w:rPr>
        <w:t xml:space="preserve">                                      </w:t>
      </w:r>
      <w:r>
        <w:rPr>
          <w:rFonts w:hint="eastAsia" w:ascii="宋体" w:hAnsi="宋体" w:cs="宋体"/>
          <w:snapToGrid w:val="0"/>
          <w:color w:val="FF0000"/>
          <w:spacing w:val="-4"/>
          <w:sz w:val="21"/>
          <w:szCs w:val="21"/>
          <w:u w:val="thick"/>
          <w:lang w:val="en-US" w:eastAsia="zh-CN"/>
        </w:rPr>
        <w:t xml:space="preserve">                                                      </w:t>
      </w:r>
    </w:p>
    <w:p>
      <w:pPr>
        <w:jc w:val="center"/>
        <w:rPr>
          <w:rFonts w:hint="eastAsia" w:ascii="方正小标宋简体" w:hAnsi="方正小标宋简体" w:eastAsia="方正小标宋简体" w:cs="黑体"/>
          <w:sz w:val="32"/>
          <w:szCs w:val="32"/>
        </w:rPr>
      </w:pPr>
    </w:p>
    <w:p>
      <w:pPr>
        <w:widowControl w:val="0"/>
        <w:wordWrap/>
        <w:adjustRightInd/>
        <w:snapToGrid/>
        <w:spacing w:line="7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关于印发《石家庄综合保税区202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CN"/>
        </w:rPr>
        <w:t>第三次</w: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跨部门“双随机、一公开”联合抽查实施方案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的通知</w:t>
      </w:r>
    </w:p>
    <w:p>
      <w:pPr>
        <w:adjustRightInd w:val="0"/>
        <w:snapToGrid w:val="0"/>
        <w:spacing w:line="480" w:lineRule="atLeast"/>
        <w:ind w:firstLine="624" w:firstLineChars="200"/>
        <w:rPr>
          <w:rFonts w:ascii="仿宋_GB2312" w:eastAsia="仿宋_GB2312"/>
          <w:snapToGrid w:val="0"/>
          <w:color w:val="000000"/>
          <w:spacing w:val="-4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各“双随机、一公开”监管工作领导小组成员单位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-4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现将《石家庄综合保税区202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第三次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跨部门“双随机、一公开”联合抽查实施方案》印发给你们，请结合本部门实际，认真贯彻落实。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pacing w:val="-4"/>
          <w:sz w:val="32"/>
          <w:szCs w:val="32"/>
        </w:rPr>
        <w:t xml:space="preserve">    </w:t>
      </w:r>
    </w:p>
    <w:p>
      <w:pPr>
        <w:adjustRightInd w:val="0"/>
        <w:snapToGrid w:val="0"/>
        <w:spacing w:line="500" w:lineRule="exact"/>
        <w:jc w:val="both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石家庄综合保税区“双随机、一公开”</w:t>
      </w:r>
    </w:p>
    <w:p>
      <w:pPr>
        <w:adjustRightInd w:val="0"/>
        <w:snapToGrid w:val="0"/>
        <w:spacing w:line="500" w:lineRule="exact"/>
        <w:ind w:firstLine="3900" w:firstLineChars="1250"/>
        <w:jc w:val="center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监管工作领导小组办公室</w:t>
      </w:r>
    </w:p>
    <w:p>
      <w:pPr>
        <w:wordWrap w:val="0"/>
        <w:adjustRightInd w:val="0"/>
        <w:snapToGrid w:val="0"/>
        <w:spacing w:line="500" w:lineRule="exact"/>
        <w:jc w:val="center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202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日 </w:t>
      </w:r>
    </w:p>
    <w:p>
      <w:pPr>
        <w:wordWrap w:val="0"/>
        <w:adjustRightInd w:val="0"/>
        <w:snapToGrid w:val="0"/>
        <w:spacing w:line="500" w:lineRule="exact"/>
        <w:jc w:val="center"/>
        <w:rPr>
          <w:rFonts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 </w:t>
      </w:r>
    </w:p>
    <w:p>
      <w:pPr>
        <w:widowControl w:val="0"/>
        <w:pBdr>
          <w:top w:val="single" w:color="auto" w:sz="12" w:space="1"/>
          <w:bottom w:val="single" w:color="auto" w:sz="12" w:space="1"/>
        </w:pBdr>
        <w:wordWrap/>
        <w:adjustRightInd w:val="0"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仿宋_GB2312" w:eastAsia="仿宋_GB2312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eastAsia="zh-CN"/>
        </w:rPr>
        <w:t>石家庄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val="en-US" w:eastAsia="zh-CN"/>
        </w:rPr>
        <w:t>综合保税区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双随机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 xml:space="preserve">一公开”监管工作领导小组办公室 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napToGrid w:val="0"/>
          <w:color w:val="000000"/>
          <w:spacing w:val="-20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年</w:t>
      </w:r>
      <w:r>
        <w:rPr>
          <w:rFonts w:hint="eastAsia" w:ascii="仿宋_GB2312"/>
          <w:snapToGrid w:val="0"/>
          <w:color w:val="000000"/>
          <w:spacing w:val="-2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月</w:t>
      </w:r>
      <w:r>
        <w:rPr>
          <w:rFonts w:hint="eastAsia" w:ascii="仿宋_GB2312"/>
          <w:snapToGrid w:val="0"/>
          <w:color w:val="000000"/>
          <w:spacing w:val="-2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napToGrid w:val="0"/>
          <w:color w:val="000000"/>
          <w:spacing w:val="-20"/>
          <w:sz w:val="28"/>
          <w:szCs w:val="28"/>
        </w:rPr>
        <w:t>日印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石家庄</w:t>
      </w:r>
      <w:r>
        <w:rPr>
          <w:rFonts w:hint="eastAsia" w:ascii="宋体" w:hAnsi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综合保税区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</w:pPr>
      <w:r>
        <w:rPr>
          <w:rFonts w:hint="eastAsia" w:ascii="宋体" w:hAnsi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年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第</w:t>
      </w:r>
      <w:r>
        <w:rPr>
          <w:rFonts w:hint="eastAsia" w:ascii="宋体" w:hAnsi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val="en-US" w:eastAsia="zh-CN"/>
        </w:rPr>
        <w:t>次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跨部门“双随机、一公开”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</w:rPr>
        <w:t>联合抽查</w:t>
      </w:r>
      <w:r>
        <w:rPr>
          <w:rFonts w:hint="eastAsia" w:ascii="宋体" w:hAnsi="宋体" w:eastAsia="宋体" w:cs="宋体"/>
          <w:b/>
          <w:bCs w:val="0"/>
          <w:color w:val="222222"/>
          <w:spacing w:val="0"/>
          <w:w w:val="100"/>
          <w:sz w:val="44"/>
          <w:lang w:eastAsia="zh-CN"/>
        </w:rPr>
        <w:t>实施方案</w:t>
      </w:r>
    </w:p>
    <w:p>
      <w:pPr>
        <w:wordWrap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/>
          <w:color w:val="222222"/>
          <w:spacing w:val="0"/>
          <w:w w:val="100"/>
          <w:sz w:val="32"/>
          <w:lang w:val="en-US" w:eastAsia="zh-CN"/>
        </w:rPr>
      </w:pPr>
    </w:p>
    <w:p>
      <w:pPr>
        <w:wordWrap/>
        <w:adjustRightInd w:val="0"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为深入推进“双随机、一公开”监管与企业信用风险分级分类监管有机结合，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60"/>
          <w:sz w:val="32"/>
          <w:szCs w:val="32"/>
        </w:rPr>
        <w:t>提高双随机抽查的精准性和靶向性</w:t>
      </w:r>
      <w:r>
        <w:rPr>
          <w:rFonts w:hint="eastAsia" w:ascii="仿宋" w:hAnsi="仿宋" w:eastAsia="仿宋" w:cs="仿宋"/>
          <w:color w:val="000000"/>
          <w:spacing w:val="0"/>
          <w:w w:val="100"/>
          <w:kern w:val="6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根据《石家庄综合保税区2024年度“双随机、一公开”监管工作实施方案》、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《石家庄综合保税区2024年“双随机、一公开”部门联合抽查计划》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，综合保税区经济发展局决定组织开展2024年第三次跨部门“双随机、一公开”联合抽查。特制定本方案。</w:t>
      </w:r>
    </w:p>
    <w:p>
      <w:pPr>
        <w:widowControl w:val="0"/>
        <w:wordWrap/>
        <w:autoSpaceDN w:val="0"/>
        <w:adjustRightInd/>
        <w:snapToGrid/>
        <w:spacing w:line="600" w:lineRule="exact"/>
        <w:ind w:left="105" w:leftChars="50" w:right="105" w:rightChars="50" w:firstLine="642"/>
        <w:jc w:val="both"/>
        <w:textAlignment w:val="auto"/>
        <w:outlineLvl w:val="9"/>
        <w:rPr>
          <w:rFonts w:hint="eastAsia" w:ascii="黑体" w:hAnsi="黑体" w:eastAsia="黑体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一、时间安排</w:t>
      </w:r>
    </w:p>
    <w:p>
      <w:pPr>
        <w:widowControl w:val="0"/>
        <w:wordWrap/>
        <w:autoSpaceDN w:val="0"/>
        <w:adjustRightInd/>
        <w:snapToGrid/>
        <w:spacing w:line="600" w:lineRule="exact"/>
        <w:ind w:left="105" w:leftChars="50" w:right="105" w:rightChars="50" w:firstLine="642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年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月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3日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至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月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</w:rPr>
        <w:t>。</w:t>
      </w:r>
    </w:p>
    <w:p>
      <w:pPr>
        <w:widowControl w:val="0"/>
        <w:wordWrap/>
        <w:autoSpaceDN w:val="0"/>
        <w:adjustRightInd/>
        <w:snapToGrid/>
        <w:spacing w:beforeAutospacing="0" w:afterAutospacing="0" w:line="600" w:lineRule="exact"/>
        <w:ind w:left="105" w:leftChars="50" w:right="105" w:rightChars="50"/>
        <w:jc w:val="both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</w:rPr>
        <w:t xml:space="preserve">    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二、抽查事项内容</w:t>
      </w:r>
    </w:p>
    <w:p>
      <w:pPr>
        <w:wordWrap/>
        <w:adjustRightInd w:val="0"/>
        <w:snapToGrid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pacing w:val="0"/>
          <w:w w:val="100"/>
          <w:sz w:val="32"/>
          <w:lang w:val="en-US" w:eastAsia="zh-CN"/>
        </w:rPr>
        <w:t>经济发展局：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电力供应与使用监督管理。</w:t>
      </w:r>
    </w:p>
    <w:p>
      <w:pPr>
        <w:wordWrap/>
        <w:adjustRightInd w:val="0"/>
        <w:snapToGrid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pacing w:val="0"/>
          <w:w w:val="100"/>
          <w:sz w:val="32"/>
          <w:lang w:val="en-US" w:eastAsia="zh-CN"/>
        </w:rPr>
        <w:t>税务局：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重点稽查对象随机抽查检查。</w:t>
      </w:r>
    </w:p>
    <w:p>
      <w:pPr>
        <w:widowControl w:val="0"/>
        <w:wordWrap/>
        <w:autoSpaceDN w:val="0"/>
        <w:adjustRightInd/>
        <w:snapToGrid/>
        <w:spacing w:beforeAutospacing="0" w:afterAutospacing="0" w:line="600" w:lineRule="exact"/>
        <w:ind w:left="105" w:leftChars="50" w:right="105" w:rightChars="50" w:firstLine="640"/>
        <w:jc w:val="both"/>
        <w:textAlignment w:val="auto"/>
        <w:outlineLvl w:val="9"/>
        <w:rPr>
          <w:rFonts w:hint="eastAsia" w:ascii="黑体" w:hAnsi="黑体" w:eastAsia="黑体"/>
          <w:color w:val="auto"/>
          <w:spacing w:val="0"/>
          <w:w w:val="100"/>
          <w:sz w:val="32"/>
        </w:rPr>
      </w:pP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三</w:t>
      </w:r>
      <w:r>
        <w:rPr>
          <w:rFonts w:hint="eastAsia" w:ascii="黑体" w:hAnsi="黑体" w:eastAsia="黑体"/>
          <w:color w:val="auto"/>
          <w:spacing w:val="0"/>
          <w:w w:val="100"/>
          <w:sz w:val="32"/>
        </w:rPr>
        <w:t>、抽查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对象</w:t>
      </w:r>
      <w:r>
        <w:rPr>
          <w:rFonts w:hint="eastAsia" w:ascii="黑体" w:hAnsi="黑体" w:eastAsia="黑体"/>
          <w:color w:val="auto"/>
          <w:spacing w:val="0"/>
          <w:w w:val="100"/>
          <w:sz w:val="32"/>
        </w:rPr>
        <w:t>范围</w:t>
      </w:r>
      <w:r>
        <w:rPr>
          <w:rFonts w:hint="eastAsia" w:ascii="黑体" w:hAnsi="黑体" w:eastAsia="黑体"/>
          <w:color w:val="auto"/>
          <w:spacing w:val="0"/>
          <w:w w:val="100"/>
          <w:sz w:val="32"/>
          <w:lang w:eastAsia="zh-CN"/>
        </w:rPr>
        <w:t>及比例</w:t>
      </w:r>
    </w:p>
    <w:p>
      <w:pPr>
        <w:pStyle w:val="10"/>
        <w:widowControl w:val="0"/>
        <w:wordWrap/>
        <w:adjustRightInd/>
        <w:snapToGrid w:val="0"/>
        <w:spacing w:after="0" w:line="6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/>
          <w:color w:val="auto"/>
          <w:spacing w:val="0"/>
          <w:w w:val="1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w w:val="100"/>
          <w:sz w:val="32"/>
          <w:szCs w:val="32"/>
          <w:lang w:val="en-US" w:eastAsia="zh-CN"/>
        </w:rPr>
        <w:t xml:space="preserve">  (一) 抽查对象范</w:t>
      </w:r>
      <w:r>
        <w:rPr>
          <w:rFonts w:hint="eastAsia" w:ascii="仿宋" w:hAnsi="仿宋" w:eastAsia="仿宋" w:cs="仿宋"/>
          <w:color w:val="222222"/>
          <w:spacing w:val="0"/>
          <w:w w:val="100"/>
          <w:kern w:val="2"/>
          <w:sz w:val="32"/>
          <w:szCs w:val="24"/>
          <w:lang w:val="en-US" w:eastAsia="zh-CN" w:bidi="ar-SA"/>
        </w:rPr>
        <w:t>围：2023年12月31日前登记设立、已成立状态的电力行业企业。</w:t>
      </w:r>
    </w:p>
    <w:p>
      <w:pPr>
        <w:pStyle w:val="10"/>
        <w:widowControl w:val="0"/>
        <w:wordWrap/>
        <w:adjustRightInd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2"/>
          <w:szCs w:val="32"/>
          <w:lang w:val="en-US" w:eastAsia="zh-CN"/>
        </w:rPr>
        <w:t xml:space="preserve">  （二）抽取比例：20%。</w:t>
      </w:r>
    </w:p>
    <w:p>
      <w:pPr>
        <w:widowControl/>
        <w:wordWrap/>
        <w:adjustRightInd/>
        <w:snapToGrid/>
        <w:spacing w:beforeAutospacing="0" w:afterAutospacing="0" w:line="600" w:lineRule="exact"/>
        <w:ind w:left="105" w:leftChars="50" w:right="105" w:rightChars="50" w:firstLine="640"/>
        <w:jc w:val="both"/>
        <w:textAlignment w:val="auto"/>
        <w:rPr>
          <w:rFonts w:hint="eastAsia" w:ascii="黑体" w:hAnsi="黑体" w:eastAsia="黑体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  <w:lang w:eastAsia="zh-CN"/>
        </w:rPr>
        <w:t>四</w:t>
      </w: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、名单抽取及派发</w:t>
      </w:r>
    </w:p>
    <w:p>
      <w:pPr>
        <w:widowControl w:val="0"/>
        <w:wordWrap/>
        <w:autoSpaceDN w:val="0"/>
        <w:adjustRightInd/>
        <w:snapToGrid/>
        <w:spacing w:beforeAutospacing="0" w:afterAutospacing="0" w:line="600" w:lineRule="exact"/>
        <w:ind w:left="105" w:leftChars="50" w:right="105" w:rightChars="5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（一）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“双随机、一公开”监管工作领导小组办公室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通过“河北省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从检查对象名录库抽取确定被检查对象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，由“河北省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”自动派发到各监管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单位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，由各单位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管理员在两个工作日内完成比对和确认。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 xml:space="preserve">   （二）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各监管单位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通过“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对被检查对象进行认领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，从执法人员名录库中随机抽取执法检查人员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进行匹配编组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 xml:space="preserve">   （三）被检查对象和检查人员确定后，由“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”随机匹配，自动生成一户企业一份随机抽查联合检查记录表（简称“一企一表”），并自动派发到执法检查人员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（可直接在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APP端查看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），实施检查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  <w:lang w:eastAsia="zh-CN"/>
        </w:rPr>
        <w:t>五</w:t>
      </w: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、组织实施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（一）任务分工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本次联合抽查由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综合保税区经济发展局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牵头，纳入跨部门“双随机、一公开”联合抽查的有关部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门为税务局。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参与跨部门“双随机、一公开”联合抽查的单位参照市级对应部门确定并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具体实施本级“双随机、一公开”联合抽查工作。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.随机抽取的执法人员，无法独立完成专业抽查事项的，由执法检查人员所在部门选派专业人员协助指导完成工作。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.区县的检查对象本级没有执法权的，由上级部门授权检查。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（二）检查方式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1.现场检查一般采取信息比对、实地核查等方法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；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2.通知检查对象，电话通知或下达检查通知书，告知被检查对象检查内容及需要检查对象配合的事宜。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.对企业进行实地核查时，应当出示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相应证件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，检查人员应当填写“一企一表”，并由被检查企业法定代表人签字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盖章确认；被检查对象拒绝签字的应当在“一企一表”上如实记录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；以上操作可在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APP上完成。</w:t>
      </w:r>
    </w:p>
    <w:p>
      <w:pPr>
        <w:widowControl w:val="0"/>
        <w:wordWrap/>
        <w:autoSpaceDN w:val="0"/>
        <w:adjustRightInd/>
        <w:snapToGrid/>
        <w:spacing w:before="0" w:after="0"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（三）抽查结果公示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执法检查人员要自完成“双随机、一公开”联合抽查工作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结束之日起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个工作日内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完成录入、审核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，抽查结果由系统完成数据交换自动归集到市场主体名下，通过“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自动交换到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市场主体信用信息公示系统”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（河北）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向社会公示。</w:t>
      </w:r>
    </w:p>
    <w:p>
      <w:pPr>
        <w:pStyle w:val="10"/>
        <w:wordWrap/>
        <w:snapToGrid/>
        <w:spacing w:line="60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（四）后续结果处置。</w:t>
      </w:r>
    </w:p>
    <w:p>
      <w:pPr>
        <w:pStyle w:val="10"/>
        <w:wordWrap/>
        <w:snapToGrid/>
        <w:spacing w:line="60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各单位要根据职责和管辖权限，对检查中发现的违法线索，及时依法处理或移交有关部门，并在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</w:rPr>
        <w:t>个工作日内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将后续处置结果录入“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szCs w:val="32"/>
          <w:lang w:eastAsia="zh-CN"/>
        </w:rPr>
        <w:t>河北省双随机执法监管平台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”中“后续处置”模块，确保后续监管到位，形成监管闭环。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/>
          <w:color w:val="222222"/>
          <w:spacing w:val="0"/>
          <w:w w:val="100"/>
          <w:sz w:val="32"/>
        </w:rPr>
      </w:pPr>
      <w:r>
        <w:rPr>
          <w:rFonts w:hint="eastAsia" w:ascii="黑体" w:hAnsi="黑体" w:eastAsia="黑体"/>
          <w:color w:val="222222"/>
          <w:spacing w:val="0"/>
          <w:w w:val="100"/>
          <w:sz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222222"/>
          <w:spacing w:val="0"/>
          <w:w w:val="100"/>
          <w:sz w:val="32"/>
          <w:lang w:eastAsia="zh-CN"/>
        </w:rPr>
        <w:t>六</w:t>
      </w:r>
      <w:r>
        <w:rPr>
          <w:rFonts w:hint="eastAsia" w:ascii="黑体" w:hAnsi="黑体" w:eastAsia="黑体"/>
          <w:color w:val="222222"/>
          <w:spacing w:val="0"/>
          <w:w w:val="100"/>
          <w:sz w:val="32"/>
        </w:rPr>
        <w:t>、工作要求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（一）明确工作职责，做好组织保障。区双随机办要加强对“双随机、一公开”联合抽查工作的组织领导，市场监管部门做好牵头工作。进一步建立健全政府主导、市场监管部门牵头、各有关部门协调联动、统筹推进的工作机制，强化组织保障、机制保障、经费保障，确保各项措施有序推进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）周密制定计划，认真抓好落实。各有关单位要按照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管委会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统一部署，积极筹划，精心组织，加强宣传，认真制定具体工作方案，严格按照《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石家庄市人民政府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关于在市场监管领域全面推行部门联合“双随机、一公开”监管的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实施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意见》要求，按时完成各项检查工作。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（三）落实“应联尽联”，提高检查效率。牵头部门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的执法检查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负责组织协调管理，统一安排检查日程、检查方式，组织实施联合检查。其他检查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人员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应各司其职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配合、服从安排，分工协作完成检查任务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实现“进一次门、查多项事”，避免多头执法、重复检查，减轻企业负担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(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四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)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寓监管于服务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，减轻企业负担。在联合抽查工作中，各级各有关部门要注重服务与监管相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结合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，检查人员在监督检查工作中要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严格遵守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廉政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纪律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widowControl w:val="0"/>
        <w:wordWrap/>
        <w:autoSpaceDN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(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四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)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按时公示结果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，促进信用监管。联合抽查工作要做好检查结果的公示，严格按照《石家庄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综合保税区2024年度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“双随机、一公开”监管工作实施方案》的要求，及时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录入并公示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检查结果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。同时，对抽查中发现的问题依法依规处置，及时回填后续处理结果，形成完整闭环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w w:val="100"/>
          <w:sz w:val="32"/>
        </w:rPr>
      </w:pP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(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五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)认真总结经验，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定期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反馈情况。各有关部门要认真总结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联合抽查中的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经验做法及存在问题，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梳理汇总一至两个典型案例。工作总结、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统计表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和典型案例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于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月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日前汇总上报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>“双随机、一公开”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  <w:lang w:eastAsia="zh-CN"/>
        </w:rPr>
        <w:t>监管工作</w:t>
      </w:r>
      <w:r>
        <w:rPr>
          <w:rFonts w:hint="eastAsia" w:ascii="仿宋" w:hAnsi="仿宋" w:eastAsia="仿宋" w:cs="仿宋"/>
          <w:color w:val="222222"/>
          <w:spacing w:val="0"/>
          <w:w w:val="100"/>
          <w:sz w:val="32"/>
        </w:rPr>
        <w:t xml:space="preserve">领导小组办公室。                  </w:t>
      </w:r>
    </w:p>
    <w:p>
      <w:pPr>
        <w:pStyle w:val="10"/>
        <w:wordWrap/>
        <w:spacing w:line="560" w:lineRule="exact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</w:rPr>
      </w:pPr>
    </w:p>
    <w:p>
      <w:pPr>
        <w:pStyle w:val="10"/>
        <w:ind w:left="0" w:leftChars="0" w:firstLine="0" w:firstLineChars="0"/>
        <w:rPr>
          <w:rFonts w:hint="eastAsia" w:ascii="仿宋" w:hAnsi="仿宋" w:eastAsia="仿宋" w:cs="仿宋"/>
          <w:spacing w:val="0"/>
          <w:w w:val="100"/>
          <w:sz w:val="32"/>
        </w:rPr>
      </w:pPr>
    </w:p>
    <w:p>
      <w:pPr>
        <w:pStyle w:val="10"/>
        <w:rPr>
          <w:rFonts w:hint="eastAsia" w:ascii="仿宋" w:hAnsi="仿宋" w:eastAsia="仿宋" w:cs="仿宋"/>
          <w:spacing w:val="0"/>
          <w:w w:val="100"/>
          <w:sz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sectPr>
          <w:footerReference r:id="rId3" w:type="default"/>
          <w:pgSz w:w="11906" w:h="16838"/>
          <w:pgMar w:top="1984" w:right="1587" w:bottom="1984" w:left="1587" w:header="851" w:footer="992" w:gutter="0"/>
          <w:cols w:space="720" w:num="1"/>
          <w:rtlGutter w:val="0"/>
          <w:docGrid w:type="lines" w:linePitch="443" w:charSpace="0"/>
        </w:sect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sz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</w:rPr>
        <w:t>石家庄</w:t>
      </w:r>
      <w:r>
        <w:rPr>
          <w:rFonts w:hint="eastAsia" w:ascii="宋体" w:hAnsi="宋体" w:cs="宋体"/>
          <w:b/>
          <w:bCs w:val="0"/>
          <w:spacing w:val="-6"/>
          <w:sz w:val="44"/>
          <w:lang w:val="en-US" w:eastAsia="zh-CN"/>
        </w:rPr>
        <w:t>综合保税区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sz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</w:rPr>
        <w:t>2024年第</w:t>
      </w:r>
      <w:r>
        <w:rPr>
          <w:rFonts w:hint="eastAsia" w:ascii="宋体" w:hAnsi="宋体" w:cs="宋体"/>
          <w:b/>
          <w:bCs w:val="0"/>
          <w:spacing w:val="-6"/>
          <w:sz w:val="44"/>
          <w:lang w:eastAsia="zh-CN"/>
        </w:rPr>
        <w:t>三</w:t>
      </w:r>
      <w:r>
        <w:rPr>
          <w:rFonts w:hint="eastAsia" w:ascii="宋体" w:hAnsi="宋体" w:eastAsia="宋体" w:cs="宋体"/>
          <w:b/>
          <w:bCs w:val="0"/>
          <w:spacing w:val="-6"/>
          <w:sz w:val="44"/>
        </w:rPr>
        <w:t>次跨部门“双随机、一公开”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sz w:val="44"/>
        </w:rPr>
      </w:pPr>
      <w:r>
        <w:rPr>
          <w:rFonts w:hint="eastAsia" w:ascii="宋体" w:hAnsi="宋体" w:eastAsia="宋体" w:cs="宋体"/>
          <w:b/>
          <w:bCs w:val="0"/>
          <w:spacing w:val="-6"/>
          <w:sz w:val="44"/>
        </w:rPr>
        <w:t>联合抽查情况统计表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</w:rPr>
      </w:pPr>
    </w:p>
    <w:tbl>
      <w:tblPr>
        <w:tblStyle w:val="7"/>
        <w:tblW w:w="1351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500"/>
        <w:gridCol w:w="1320"/>
        <w:gridCol w:w="1368"/>
        <w:gridCol w:w="1380"/>
        <w:gridCol w:w="1488"/>
        <w:gridCol w:w="1260"/>
        <w:gridCol w:w="1224"/>
        <w:gridCol w:w="159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随机抽查企业（户）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随机抽取执法检查人员（人次）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涉及检查部门（个）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检查项目（个）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抽查结果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抽查结果处理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现场解答疑难问题（个）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发现问题事项（项）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发现问题企业（户）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责令改正（户）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应列入异常（户）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涉嫌违法立案调查（户）</w:t>
            </w: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7" w:type="first"/>
      <w:headerReference r:id="rId4" w:type="default"/>
      <w:footerReference r:id="rId5" w:type="default"/>
      <w:footerReference r:id="rId6" w:type="even"/>
      <w:pgSz w:w="16838" w:h="11906" w:orient="landscape"/>
      <w:pgMar w:top="1588" w:right="2098" w:bottom="1418" w:left="1644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yXxm/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gTOHPC0oVfvn+7/Ph1+fmV&#10;vU329AEr6noMDzBlSGHSOrRg05tUsCFber5aqobIJBWX69V6XZLbks7mhHCKp88DYLxX3rIU1Bzo&#10;zrKV4vQB49g6t6Rpzt9pY6guKuP+KhBmqhSJ8cgxRXHYDxPxvW/OpLan6665o+3mzLx35GbajDmA&#10;OdjPwTGAPnREbZl5Ybg9RiKRuaUJI+w0mO4pq5t2Ki3Cn3nuevqP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GyXxm/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YB44/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c3&#10;tkz29AEr6noMDzBlSGHSOrRg05tUsCFber5aqobIJBWX69V6XZLbks7mhHCKp88DYLxT3rIU1Bzo&#10;zrKV4vQR49g6t6Rpzt9qY6guKuP+KhBmqhSJ8cgxRXHYDxPxvW/OpLan6665o+3mzNw7cjNtxhzA&#10;HOzn4BhAHzqitsy8MHw4RiKRuaUJI+w0mO4pq5t2Ki3C8zx3Pf1H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gHjj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VaPg7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r+ljMnLF345fu3y49fl59f&#10;2Sr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VaPg7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MDUxY2ZmN2U4ODIzYjc2YzM5YWZhMThmNzQ5MDEifQ=="/>
  </w:docVars>
  <w:rsids>
    <w:rsidRoot w:val="00000000"/>
    <w:rsid w:val="16171AEE"/>
    <w:rsid w:val="166F1ADC"/>
    <w:rsid w:val="1D822AF3"/>
    <w:rsid w:val="22C606B3"/>
    <w:rsid w:val="43A539A9"/>
    <w:rsid w:val="5D34068D"/>
    <w:rsid w:val="66301D12"/>
    <w:rsid w:val="672F0FEA"/>
    <w:rsid w:val="6C1237D6"/>
    <w:rsid w:val="793A4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3"/>
      <w:ind w:left="65" w:right="164"/>
      <w:jc w:val="center"/>
    </w:pPr>
    <w:rPr>
      <w:rFonts w:ascii="宋体" w:hAnsi="宋体" w:eastAsia="宋体" w:cs="宋体"/>
      <w:sz w:val="100"/>
      <w:szCs w:val="100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Body Text First Indent 2"/>
    <w:basedOn w:val="11"/>
    <w:qFormat/>
    <w:uiPriority w:val="0"/>
    <w:pPr>
      <w:ind w:firstLine="420" w:firstLineChars="200"/>
    </w:pPr>
    <w:rPr>
      <w:rFonts w:eastAsia="宋体"/>
      <w:w w:val="88"/>
      <w:szCs w:val="21"/>
    </w:rPr>
  </w:style>
  <w:style w:type="paragraph" w:customStyle="1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12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customStyle="1" w:styleId="13">
    <w:name w:val="Normal Indent"/>
    <w:basedOn w:val="1"/>
    <w:next w:val="10"/>
    <w:qFormat/>
    <w:uiPriority w:val="0"/>
    <w:pPr>
      <w:ind w:firstLine="420"/>
    </w:pPr>
  </w:style>
  <w:style w:type="character" w:customStyle="1" w:styleId="14">
    <w:name w:val="page number"/>
    <w:basedOn w:val="8"/>
    <w:qFormat/>
    <w:uiPriority w:val="0"/>
  </w:style>
  <w:style w:type="character" w:customStyle="1" w:styleId="15">
    <w:name w:val="readonlyspan1"/>
    <w:basedOn w:val="8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2327</Words>
  <Characters>2385</Characters>
  <Lines>0</Lines>
  <Paragraphs>0</Paragraphs>
  <TotalTime>20</TotalTime>
  <ScaleCrop>false</ScaleCrop>
  <LinksUpToDate>false</LinksUpToDate>
  <CharactersWithSpaces>2578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2021-05-14T13:44:00Z</dcterms:created>
  <dc:creator>赵璞</dc:creator>
  <cp:lastModifiedBy>王建岚</cp:lastModifiedBy>
  <cp:lastPrinted>2024-03-01T14:16:00Z</cp:lastPrinted>
  <dcterms:modified xsi:type="dcterms:W3CDTF">2024-06-07T09:46:04Z</dcterms:modified>
  <dc:title>邵慧慧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6C8CC1895D44444A99E6563FE4341F50_13</vt:lpwstr>
  </property>
</Properties>
</file>